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Allgemeine Geschäftsbedingungen (AGB) der [Dein Betrieb], Fassung vom [Datum]</w:t>
      </w:r>
    </w:p>
    <w:p>
      <w:pPr>
        <w:spacing w:after="180" w:before="0"/>
      </w:pPr>
      <w:r>
        <w:t xml:space="preserve">1. Geltungsbereich</w:t>
      </w:r>
      <w:r>
        <w:br/>
        <w:t xml:space="preserve">Diese Allgemeinen Geschäftsbedingungen (AGB) gelten für alle Offerten, Verträge und Leistungen von [Dein Betrieb], [Strasse Nr.], [PLZ Ort], nachfolgend «Unternehmerin». Sie sind Bestandteil des Vertrags, wenn in der Offerte, in der Auftragsbestätigung oder im Vertrag auf sie hingewiesen wurde und sie der Kundschaft vor dem Vertragsschluss zugänglich waren. Abweichende Bedingungen der Kundschaft gelten nur, soweit die Unternehmerin ihnen schriftlich zugestimmt hat.</w:t>
      </w:r>
    </w:p>
    <w:p>
      <w:pPr>
        <w:spacing w:after="180" w:before="0"/>
      </w:pPr>
      <w:r>
        <w:t xml:space="preserve">2. Offerte und Vertragsschluss</w:t>
      </w:r>
      <w:r>
        <w:br/>
        <w:t xml:space="preserve">Offerten sind [30] Tage gültig. Der Vertrag kommt zustande, wenn die Kundschaft die Offerte innert dieser Frist annimmt oder wenn die Unternehmerin einen mündlich erteilten Auftrag schriftlich bestätigt und die Kundschaft nicht innert [3] Arbeitstagen widerspricht. Pläne, Skizzen, Muster und Berechnungen, die zu einer Offerte gehören, bleiben Eigentum der Unternehmerin und dürfen ohne ihre Zustimmung nicht an Dritte weitergegeben werden.</w:t>
      </w:r>
    </w:p>
    <w:p>
      <w:pPr>
        <w:spacing w:after="180" w:before="0"/>
      </w:pPr>
      <w:r>
        <w:t xml:space="preserve">3. Preise, Mehrleistungen und Kostenvoranschlag</w:t>
      </w:r>
      <w:r>
        <w:br/>
        <w:t xml:space="preserve">Die Preise verstehen sich in Schweizer Franken und ohne Mehrwertsteuer. Ein Festpreis deckt den Umfang, der in der Offerte beschrieben ist. Arbeiten, die darüber hinausgehen, werden nach Aufwand zu den vereinbarten Ansätzen verrechnet. Die Unternehmerin meldet absehbare Mehrkosten, bevor sie entstehen, und holt dafür die Zustimmung der Kundschaft ein. Ist statt eines Festpreises ein ungefährer Kostenansatz vereinbart, richten sich die Rechte der Kundschaft bei einer Überschreitung nach Artikel 375 OR.</w:t>
      </w:r>
    </w:p>
    <w:p>
      <w:pPr>
        <w:spacing w:after="180" w:before="0"/>
      </w:pPr>
      <w:r>
        <w:t xml:space="preserve">4. Ausführung, Termine und Mitwirkung</w:t>
      </w:r>
      <w:r>
        <w:br/>
        <w:t xml:space="preserve">Termine gelten als vereinbart, wenn sie schriftlich festgehalten sind. Die Kundschaft sorgt für den rechtzeitigen und ungehinderten Zugang zum Arbeitsort, für Strom und Wasser sowie für einen Platz, an dem Material und Geräte abgestellt werden können. Vor Beginn weist sie auf verdeckte Leitungen, Schadstoffe und andere Gefahren hin, die ihr bekannt sind. Verzögerungen, die auf fehlende Mitwirkung, auf Witterung oder auf Vorleistungen Dritter zurückgehen, verlängern die Termine angemessen; der dadurch entstehende Mehraufwand wird nach Aufwand verrechnet.</w:t>
      </w:r>
    </w:p>
    <w:p>
      <w:pPr>
        <w:spacing w:after="180" w:before="0"/>
      </w:pPr>
      <w:r>
        <w:t xml:space="preserve">5. Abnahme, Prüfung und Mängelrüge</w:t>
      </w:r>
      <w:r>
        <w:br/>
        <w:t xml:space="preserve">Nach Vollendung zeigt die Unternehmerin die Arbeit an, und die Kundschaft prüft das Werk. Bei einem unbeweglichen Werk beträgt die Frist für die Mängelrüge 60 Tage; sie läuft bei erkennbaren Mängeln ab Abnahme und ordnungsgemässer Prüfung, bei verdeckten Mängeln ab ihrer Entdeckung (Artikel 367 Absatz 1bis und Artikel 370 Absatz 4 OR). Bei beweglichen Werken sind Mängel anzuzeigen, sobald es nach dem üblichen Geschäftsgang tunlich ist, verdeckte Mängel sofort nach ihrer Entdeckung. Die Rüge geht an [E-Mail-Adresse für Mängelrügen] und bezeichnet den Mangel so genau, dass er auffindbar ist. Die Kundschaft gibt der Unternehmerin Gelegenheit, den gerügten Werkteil zu besichtigen, bevor ein Dritter daran arbeitet.</w:t>
      </w:r>
    </w:p>
    <w:p>
      <w:pPr>
        <w:spacing w:after="180" w:before="0"/>
      </w:pPr>
      <w:r>
        <w:t xml:space="preserve">6. Mängelrechte und Verjährung</w:t>
      </w:r>
      <w:r>
        <w:br/>
        <w:t xml:space="preserve">Bei Mängeln hat die Kundschaft Anspruch auf unentgeltliche Verbesserung. Die Unternehmerin erhält Gelegenheit, den Mangel innert angemessener Frist zu beheben. Die Ansprüche wegen Mängel verjähren zwei Jahre nach der Abnahme. Fünf Jahre gelten bei einem unbeweglichen Werk und bei einem beweglichen Werk, das bestimmungsgemäss in ein unbewegliches Werk integriert wurde und dessen Mangelhaftigkeit verursacht hat (Artikel 371 OR). Nicht als Mangel gelten übliche Abweichungen in Farbe, Struktur und Mass bei Naturprodukten sowie Schäden, die auf unsachgemässe Benutzung, fehlenden Unterhalt oder Eingriffe Dritter zurückgehen.</w:t>
      </w:r>
    </w:p>
    <w:p>
      <w:pPr>
        <w:spacing w:after="180" w:before="0"/>
      </w:pPr>
      <w:r>
        <w:t xml:space="preserve">7. Zahlung, Verzug und Mahnkosten</w:t>
      </w:r>
      <w:r>
        <w:br/>
        <w:t xml:space="preserve">Rechnungen sind innert [30] Tagen ab Rechnungsdatum ohne Abzug zahlbar. Bei Aufträgen über CHF [5'000.00] kann die Unternehmerin Teilrechnungen nach Baufortschritt stellen. Mit Ablauf der Zahlungsfrist gerät die Kundschaft ohne weitere Mahnung in Verzug. Ab diesem Zeitpunkt läuft ein Verzugszins von 5 Prozent pro Jahr (Artikel 104 Absatz 1 OR). Die erste Zahlungserinnerung ist kostenlos. Ab der zweiten Mahnung wird eine Mahngebühr von CHF [20.00] erhoben, ab der dritten CHF [30.00]. Bleibt eine fällige Zahlung aus, kann die Unternehmerin die weiteren Arbeiten einstellen, bis der ausstehende Betrag bezahlt ist.</w:t>
      </w:r>
    </w:p>
    <w:p>
      <w:pPr>
        <w:spacing w:after="180" w:before="0"/>
      </w:pPr>
      <w:r>
        <w:t xml:space="preserve">8. Eigentumsvorbehalt</w:t>
      </w:r>
      <w:r>
        <w:br/>
        <w:t xml:space="preserve">An geliefertem, noch nicht eingebautem Material behält sich die Unternehmerin das Eigentum bis zur vollständigen Bezahlung vor. Dieser Vorbehalt ist nur wirksam, wenn er am Wohnort der Kundschaft im Register des Betreibungsamtes eingetragen ist (Artikel 715 ZGB). Die Kundschaft wirkt bei einem solchen Eintrag mit.</w:t>
      </w:r>
    </w:p>
    <w:p>
      <w:pPr>
        <w:spacing w:after="180" w:before="0"/>
      </w:pPr>
      <w:r>
        <w:t xml:space="preserve">9. Haftung</w:t>
      </w:r>
      <w:r>
        <w:br/>
        <w:t xml:space="preserve">Die Unternehmerin haftet für Schäden, die sie oder ihre Mitarbeitenden bei der Ausführung schuldhaft verursachen. Für leichte Fahrlässigkeit ist die Haftung auf CHF [Betrag] je Schadenfall beschränkt. Für Absicht und grobe Fahrlässigkeit haftet die Unternehmerin unbeschränkt (Artikel 100 Absatz 1 OR). Nicht ersetzt werden Schäden, die darauf beruhen, dass die Kundschaft auf bekannte Gefahren nach Ziffer 4 nicht hingewiesen hat. Die Unternehmerin unterhält eine Betriebshaftpflichtversicherung mit einer Deckungssumme von CHF [Betrag] und weist sie auf Verlangen nach.</w:t>
      </w:r>
    </w:p>
    <w:p>
      <w:pPr>
        <w:spacing w:after="180" w:before="0"/>
      </w:pPr>
      <w:r>
        <w:t xml:space="preserve">10. Datenschutz</w:t>
      </w:r>
      <w:r>
        <w:br/>
        <w:t xml:space="preserve">Die Unternehmerin bearbeitet Personendaten der Kundschaft, um Offerten zu erstellen, Aufträge auszuführen, Rechnungen zu stellen und gesetzliche Aufbewahrungspflichten zu erfüllen. Sie gibt Daten an Dritte weiter, soweit das für die Ausführung nötig ist, namentlich an Subunternehmen, Lieferanten, die Treuhandstelle und, bei Zahlungsverzug, an das Betreibungsamt. Auskunft über die Bearbeitung erteilt [Name, E-Mail]. Weitere Angaben stehen in der Datenschutzerklärung unter [Adresse deiner Website].</w:t>
      </w:r>
    </w:p>
    <w:p>
      <w:pPr>
        <w:spacing w:after="180" w:before="0"/>
      </w:pPr>
      <w:r>
        <w:t xml:space="preserve">11. Anwendbares Recht und Gerichtsstand</w:t>
      </w:r>
      <w:r>
        <w:br/>
        <w:t xml:space="preserve">Es gilt schweizerisches Recht. Gerichtsstand ist [Ort des Sitzes]. Gegenüber Konsumentinnen und Konsumenten bleiben die zwingenden Gerichtsstände der Zivilprozessordnung vorbehalten; auf sie kann nicht zum Voraus verzichtet werden (Artikel 32 und 35 ZPO).</w:t>
      </w:r>
    </w:p>
    <w:p>
      <w:pPr>
        <w:spacing w:after="180" w:before="0"/>
      </w:pPr>
      <w:r>
        <w:t xml:space="preserve">12. Schlussbestimmungen</w:t>
      </w:r>
      <w:r>
        <w:br/>
        <w:t xml:space="preserve">Ist eine Bestimmung dieser AGB ungültig, bleiben die übrigen gültig; an die Stelle der ungültigen Bestimmung tritt die gesetzliche Regelung. Änderungen dieser AGB gelten nur für Verträge, die nach ihrer Bekanntgabe geschlossen werden. Es gilt die Fassung, die bei Vertragsschluss in Kraft war.</w:t>
      </w:r>
    </w:p>
    <w:p>
      <w:pPr>
        <w:spacing w:after="180" w:before="0"/>
      </w:pPr>
      <w:r>
        <w:t xml:space="preserve">Fassung vom [Datum]</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 (AGB) der [Dein Betrieb], Fassung vom [Datum]</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